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137A1C">
        <w:rPr>
          <w:rFonts w:ascii="Arial" w:hAnsi="Arial" w:cs="Arial"/>
        </w:rPr>
        <w:t>652</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3789F" w:rsidRDefault="0063789F" w:rsidP="00C20498">
      <w:pPr>
        <w:pStyle w:val="StandardWeb"/>
        <w:spacing w:line="360" w:lineRule="auto"/>
        <w:rPr>
          <w:rFonts w:ascii="Arial" w:hAnsi="Arial" w:cs="Arial"/>
          <w:b/>
          <w:sz w:val="32"/>
          <w:szCs w:val="32"/>
        </w:rPr>
      </w:pPr>
      <w:r w:rsidRPr="0063789F">
        <w:rPr>
          <w:rFonts w:ascii="Arial" w:hAnsi="Arial" w:cs="Arial"/>
          <w:b/>
          <w:sz w:val="32"/>
          <w:szCs w:val="32"/>
        </w:rPr>
        <w:t>Erkennung von Farbnuancen auf Bedienelementen</w:t>
      </w:r>
    </w:p>
    <w:p w:rsidR="0063789F" w:rsidRDefault="0063789F" w:rsidP="0063789F">
      <w:pPr>
        <w:pStyle w:val="StandardWeb"/>
        <w:spacing w:line="360" w:lineRule="auto"/>
        <w:rPr>
          <w:rFonts w:ascii="Arial" w:hAnsi="Arial" w:cs="Arial"/>
          <w:b/>
          <w:sz w:val="22"/>
          <w:szCs w:val="22"/>
        </w:rPr>
      </w:pPr>
      <w:r w:rsidRPr="0063789F">
        <w:rPr>
          <w:rFonts w:ascii="Arial" w:hAnsi="Arial" w:cs="Arial"/>
          <w:b/>
          <w:sz w:val="22"/>
          <w:szCs w:val="22"/>
        </w:rPr>
        <w:t xml:space="preserve">Bei der Herstellung und Montage von metallisch glänzenden Bedienelementen in Fahrzeugen müssen Farbnuancen erkannt und differenziert werden. Diese Aufgabe übernehmen True-Color-Sensoren von Micro-Epsilon. Dank der Farbraumergänzung durch den </w:t>
      </w:r>
      <w:proofErr w:type="spellStart"/>
      <w:r w:rsidRPr="0063789F">
        <w:rPr>
          <w:rFonts w:ascii="Arial" w:hAnsi="Arial" w:cs="Arial"/>
          <w:b/>
          <w:sz w:val="22"/>
          <w:szCs w:val="22"/>
        </w:rPr>
        <w:t>LCh</w:t>
      </w:r>
      <w:proofErr w:type="spellEnd"/>
      <w:r w:rsidRPr="0063789F">
        <w:rPr>
          <w:rFonts w:ascii="Arial" w:hAnsi="Arial" w:cs="Arial"/>
          <w:b/>
          <w:sz w:val="22"/>
          <w:szCs w:val="22"/>
        </w:rPr>
        <w:t xml:space="preserve"> Farbraum erfüllt der </w:t>
      </w:r>
      <w:proofErr w:type="spellStart"/>
      <w:r w:rsidRPr="0063789F">
        <w:rPr>
          <w:rFonts w:ascii="Arial" w:hAnsi="Arial" w:cs="Arial"/>
          <w:b/>
          <w:sz w:val="22"/>
          <w:szCs w:val="22"/>
        </w:rPr>
        <w:t>colorSENSOR</w:t>
      </w:r>
      <w:proofErr w:type="spellEnd"/>
      <w:r w:rsidRPr="0063789F">
        <w:rPr>
          <w:rFonts w:ascii="Arial" w:hAnsi="Arial" w:cs="Arial"/>
          <w:b/>
          <w:sz w:val="22"/>
          <w:szCs w:val="22"/>
        </w:rPr>
        <w:t xml:space="preserve"> CFO250 die hohen Anforderungen in der Automobilbranche.</w:t>
      </w:r>
    </w:p>
    <w:p w:rsidR="0063789F" w:rsidRPr="0063789F" w:rsidRDefault="0063789F" w:rsidP="0063789F">
      <w:pPr>
        <w:pStyle w:val="StandardWeb"/>
        <w:spacing w:line="360" w:lineRule="auto"/>
        <w:rPr>
          <w:rFonts w:ascii="Arial" w:hAnsi="Arial" w:cs="Arial"/>
          <w:sz w:val="22"/>
          <w:szCs w:val="22"/>
        </w:rPr>
      </w:pPr>
      <w:r w:rsidRPr="0063789F">
        <w:rPr>
          <w:rFonts w:ascii="Arial" w:hAnsi="Arial" w:cs="Arial"/>
          <w:sz w:val="22"/>
          <w:szCs w:val="22"/>
        </w:rPr>
        <w:t>Bei der Herstellung und Montage von metallisch glänzenden Bedienelementen in Fahrzeugen müssen nicht nur die Grundfarben von Produkten, sondern auch Materialien und Beschichtungen erkannt und differenziert werden. Veränderungen der Oberflächenstruktur, der Reflexion und der Farbgebung können eine andere Farbwahrnehmung bewirken, wie beispielsweise bei Blenden und Scha</w:t>
      </w:r>
      <w:r>
        <w:rPr>
          <w:rFonts w:ascii="Arial" w:hAnsi="Arial" w:cs="Arial"/>
          <w:sz w:val="22"/>
          <w:szCs w:val="22"/>
        </w:rPr>
        <w:t>ltern im Innenraum eines Autos.</w:t>
      </w:r>
    </w:p>
    <w:p w:rsidR="0063789F" w:rsidRPr="0063789F" w:rsidRDefault="0063789F" w:rsidP="0063789F">
      <w:pPr>
        <w:pStyle w:val="StandardWeb"/>
        <w:spacing w:line="360" w:lineRule="auto"/>
        <w:rPr>
          <w:rFonts w:ascii="Arial" w:hAnsi="Arial" w:cs="Arial"/>
          <w:b/>
          <w:sz w:val="22"/>
          <w:szCs w:val="22"/>
        </w:rPr>
      </w:pPr>
      <w:r w:rsidRPr="0063789F">
        <w:rPr>
          <w:rFonts w:ascii="Arial" w:hAnsi="Arial" w:cs="Arial"/>
          <w:b/>
          <w:sz w:val="22"/>
          <w:szCs w:val="22"/>
        </w:rPr>
        <w:t>Prüfung beim Einbau in Bedienelemente</w:t>
      </w:r>
    </w:p>
    <w:p w:rsidR="0063789F" w:rsidRPr="0063789F" w:rsidRDefault="0063789F" w:rsidP="0063789F">
      <w:pPr>
        <w:pStyle w:val="StandardWeb"/>
        <w:spacing w:line="360" w:lineRule="auto"/>
        <w:rPr>
          <w:rFonts w:ascii="Arial" w:hAnsi="Arial" w:cs="Arial"/>
          <w:sz w:val="22"/>
          <w:szCs w:val="22"/>
        </w:rPr>
      </w:pPr>
      <w:r w:rsidRPr="0063789F">
        <w:rPr>
          <w:rFonts w:ascii="Arial" w:hAnsi="Arial" w:cs="Arial"/>
          <w:sz w:val="22"/>
          <w:szCs w:val="22"/>
        </w:rPr>
        <w:t xml:space="preserve">Der </w:t>
      </w:r>
      <w:proofErr w:type="spellStart"/>
      <w:r w:rsidRPr="0063789F">
        <w:rPr>
          <w:rFonts w:ascii="Arial" w:hAnsi="Arial" w:cs="Arial"/>
          <w:sz w:val="22"/>
          <w:szCs w:val="22"/>
        </w:rPr>
        <w:t>colorSENSOR</w:t>
      </w:r>
      <w:proofErr w:type="spellEnd"/>
      <w:r w:rsidRPr="0063789F">
        <w:rPr>
          <w:rFonts w:ascii="Arial" w:hAnsi="Arial" w:cs="Arial"/>
          <w:sz w:val="22"/>
          <w:szCs w:val="22"/>
        </w:rPr>
        <w:t xml:space="preserve"> CFO250 von Micro-Epsilon prüft die Teile dabei auf gleichartige, aber dennoch unterschiedliche Farben (z.B. verschiedene Silber-Töne). Dank der integrierten Multi-</w:t>
      </w:r>
      <w:proofErr w:type="spellStart"/>
      <w:r w:rsidRPr="0063789F">
        <w:rPr>
          <w:rFonts w:ascii="Arial" w:hAnsi="Arial" w:cs="Arial"/>
          <w:sz w:val="22"/>
          <w:szCs w:val="22"/>
        </w:rPr>
        <w:t>Teach</w:t>
      </w:r>
      <w:proofErr w:type="spellEnd"/>
      <w:r w:rsidRPr="0063789F">
        <w:rPr>
          <w:rFonts w:ascii="Arial" w:hAnsi="Arial" w:cs="Arial"/>
          <w:sz w:val="22"/>
          <w:szCs w:val="22"/>
        </w:rPr>
        <w:t>-Funktion können die Farbsensoren auch stark strukturierte oder gekrümmte Bauteile prozesssicher erkennen und überwachen den korrekten Einbau in Schalt- oder Bedienelemente von Fahrzeugen. Für die Messaufgabe wird der Controller zusammen mit den Reflexsen</w:t>
      </w:r>
      <w:r>
        <w:rPr>
          <w:rFonts w:ascii="Arial" w:hAnsi="Arial" w:cs="Arial"/>
          <w:sz w:val="22"/>
          <w:szCs w:val="22"/>
        </w:rPr>
        <w:t>soren CFS4-K18 &amp; V14 verwendet.</w:t>
      </w:r>
    </w:p>
    <w:p w:rsidR="0063789F" w:rsidRPr="0063789F" w:rsidRDefault="0063789F" w:rsidP="0063789F">
      <w:pPr>
        <w:pStyle w:val="StandardWeb"/>
        <w:spacing w:line="360" w:lineRule="auto"/>
        <w:rPr>
          <w:rFonts w:ascii="Arial" w:hAnsi="Arial" w:cs="Arial"/>
          <w:b/>
          <w:sz w:val="22"/>
          <w:szCs w:val="22"/>
        </w:rPr>
      </w:pPr>
      <w:r w:rsidRPr="0063789F">
        <w:rPr>
          <w:rFonts w:ascii="Arial" w:hAnsi="Arial" w:cs="Arial"/>
          <w:b/>
          <w:sz w:val="22"/>
          <w:szCs w:val="22"/>
        </w:rPr>
        <w:t xml:space="preserve">Erweiterung um den </w:t>
      </w:r>
      <w:proofErr w:type="spellStart"/>
      <w:r w:rsidRPr="0063789F">
        <w:rPr>
          <w:rFonts w:ascii="Arial" w:hAnsi="Arial" w:cs="Arial"/>
          <w:b/>
          <w:sz w:val="22"/>
          <w:szCs w:val="22"/>
        </w:rPr>
        <w:t>LCh</w:t>
      </w:r>
      <w:proofErr w:type="spellEnd"/>
      <w:r w:rsidRPr="0063789F">
        <w:rPr>
          <w:rFonts w:ascii="Arial" w:hAnsi="Arial" w:cs="Arial"/>
          <w:b/>
          <w:sz w:val="22"/>
          <w:szCs w:val="22"/>
        </w:rPr>
        <w:t xml:space="preserve"> Farbraum</w:t>
      </w:r>
    </w:p>
    <w:p w:rsidR="00C044B6" w:rsidRDefault="0063789F" w:rsidP="0063789F">
      <w:pPr>
        <w:pStyle w:val="StandardWeb"/>
        <w:spacing w:line="360" w:lineRule="auto"/>
        <w:rPr>
          <w:rFonts w:ascii="Arial" w:hAnsi="Arial" w:cs="Arial"/>
          <w:sz w:val="22"/>
          <w:szCs w:val="22"/>
        </w:rPr>
      </w:pPr>
      <w:r w:rsidRPr="0063789F">
        <w:rPr>
          <w:rFonts w:ascii="Arial" w:hAnsi="Arial" w:cs="Arial"/>
          <w:sz w:val="22"/>
          <w:szCs w:val="22"/>
        </w:rPr>
        <w:t xml:space="preserve">Die True-Color-Sensoren von Micro-Epsilon </w:t>
      </w:r>
      <w:r>
        <w:rPr>
          <w:rFonts w:ascii="Arial" w:hAnsi="Arial" w:cs="Arial"/>
          <w:sz w:val="22"/>
          <w:szCs w:val="22"/>
        </w:rPr>
        <w:t xml:space="preserve">besitzen eine </w:t>
      </w:r>
      <w:r w:rsidRPr="0063789F">
        <w:rPr>
          <w:rFonts w:ascii="Arial" w:hAnsi="Arial" w:cs="Arial"/>
          <w:sz w:val="22"/>
          <w:szCs w:val="22"/>
        </w:rPr>
        <w:t>hohe Farbgenauigkeit und Reproduzierbarkeit. Es lassen sich bis zu 320 Farben in 254 Farbgruppen in die Multi-</w:t>
      </w:r>
      <w:proofErr w:type="spellStart"/>
      <w:r w:rsidRPr="0063789F">
        <w:rPr>
          <w:rFonts w:ascii="Arial" w:hAnsi="Arial" w:cs="Arial"/>
          <w:sz w:val="22"/>
          <w:szCs w:val="22"/>
        </w:rPr>
        <w:t>Teach</w:t>
      </w:r>
      <w:proofErr w:type="spellEnd"/>
      <w:r w:rsidRPr="0063789F">
        <w:rPr>
          <w:rFonts w:ascii="Arial" w:hAnsi="Arial" w:cs="Arial"/>
          <w:sz w:val="22"/>
          <w:szCs w:val="22"/>
        </w:rPr>
        <w:t xml:space="preserve">-Funktion einlernen. </w:t>
      </w:r>
    </w:p>
    <w:p w:rsidR="00C044B6" w:rsidRDefault="00C044B6" w:rsidP="0063789F">
      <w:pPr>
        <w:pStyle w:val="StandardWeb"/>
        <w:spacing w:line="360" w:lineRule="auto"/>
        <w:rPr>
          <w:rFonts w:ascii="Arial" w:hAnsi="Arial" w:cs="Arial"/>
          <w:sz w:val="22"/>
          <w:szCs w:val="22"/>
        </w:rPr>
      </w:pPr>
    </w:p>
    <w:p w:rsidR="00C044B6" w:rsidRDefault="00C044B6" w:rsidP="0063789F">
      <w:pPr>
        <w:pStyle w:val="StandardWeb"/>
        <w:spacing w:line="360" w:lineRule="auto"/>
        <w:rPr>
          <w:rFonts w:ascii="Arial" w:hAnsi="Arial" w:cs="Arial"/>
          <w:sz w:val="22"/>
          <w:szCs w:val="22"/>
        </w:rPr>
      </w:pPr>
    </w:p>
    <w:p w:rsidR="0063789F" w:rsidRDefault="0063789F" w:rsidP="0063789F">
      <w:pPr>
        <w:pStyle w:val="StandardWeb"/>
        <w:spacing w:line="360" w:lineRule="auto"/>
        <w:rPr>
          <w:rFonts w:ascii="Arial" w:hAnsi="Arial" w:cs="Arial"/>
          <w:sz w:val="22"/>
          <w:szCs w:val="22"/>
        </w:rPr>
      </w:pPr>
      <w:r w:rsidRPr="0063789F">
        <w:rPr>
          <w:rFonts w:ascii="Arial" w:hAnsi="Arial" w:cs="Arial"/>
          <w:sz w:val="22"/>
          <w:szCs w:val="22"/>
        </w:rPr>
        <w:t xml:space="preserve">Dank der Farbraumergänzung durch den </w:t>
      </w:r>
      <w:proofErr w:type="spellStart"/>
      <w:r w:rsidRPr="0063789F">
        <w:rPr>
          <w:rFonts w:ascii="Arial" w:hAnsi="Arial" w:cs="Arial"/>
          <w:sz w:val="22"/>
          <w:szCs w:val="22"/>
        </w:rPr>
        <w:t>LCh</w:t>
      </w:r>
      <w:proofErr w:type="spellEnd"/>
      <w:r w:rsidRPr="0063789F">
        <w:rPr>
          <w:rFonts w:ascii="Arial" w:hAnsi="Arial" w:cs="Arial"/>
          <w:sz w:val="22"/>
          <w:szCs w:val="22"/>
        </w:rPr>
        <w:t xml:space="preserve">-Farbraum erfüllt der </w:t>
      </w:r>
      <w:proofErr w:type="spellStart"/>
      <w:r w:rsidRPr="0063789F">
        <w:rPr>
          <w:rFonts w:ascii="Arial" w:hAnsi="Arial" w:cs="Arial"/>
          <w:sz w:val="22"/>
          <w:szCs w:val="22"/>
        </w:rPr>
        <w:t>colorSENSOR</w:t>
      </w:r>
      <w:proofErr w:type="spellEnd"/>
      <w:r w:rsidRPr="0063789F">
        <w:rPr>
          <w:rFonts w:ascii="Arial" w:hAnsi="Arial" w:cs="Arial"/>
          <w:sz w:val="22"/>
          <w:szCs w:val="22"/>
        </w:rPr>
        <w:t xml:space="preserve"> CFO250 auch die in der Automobilbranche üblichen Vorschriften zur Farbmessung. Der True-Color-Sensor kann dank seiner hohen Messgeschwindigkeit 7.500 Teile pro Sekunde bewerten u</w:t>
      </w:r>
      <w:bookmarkStart w:id="0" w:name="_GoBack"/>
      <w:bookmarkEnd w:id="0"/>
      <w:r w:rsidRPr="0063789F">
        <w:rPr>
          <w:rFonts w:ascii="Arial" w:hAnsi="Arial" w:cs="Arial"/>
          <w:sz w:val="22"/>
          <w:szCs w:val="22"/>
        </w:rPr>
        <w:t>nd mit 30 kHz über die Schaltausgänge direkt an eine Prozessteuerung übergeben. Die Bedienung erfolgt intuitiv über die webbasierte Oberfläche.</w:t>
      </w:r>
    </w:p>
    <w:p w:rsidR="00AD49A1" w:rsidRDefault="00532ED4" w:rsidP="00D73B30">
      <w:pPr>
        <w:pStyle w:val="StandardWeb"/>
        <w:spacing w:line="360" w:lineRule="auto"/>
        <w:ind w:left="3540" w:firstLine="708"/>
        <w:rPr>
          <w:rFonts w:ascii="Arial" w:hAnsi="Arial" w:cs="Arial"/>
          <w:i/>
          <w:sz w:val="22"/>
          <w:szCs w:val="22"/>
          <w:lang w:eastAsia="en-US"/>
        </w:rPr>
      </w:pPr>
      <w:r w:rsidRPr="002F426A">
        <w:rPr>
          <w:rFonts w:ascii="Arial" w:hAnsi="Arial" w:cs="Arial"/>
          <w:i/>
          <w:sz w:val="22"/>
          <w:szCs w:val="22"/>
          <w:lang w:eastAsia="en-US"/>
        </w:rPr>
        <w:t xml:space="preserve">ca. </w:t>
      </w:r>
      <w:r w:rsidR="00DE7326">
        <w:rPr>
          <w:rFonts w:ascii="Arial" w:hAnsi="Arial" w:cs="Arial"/>
          <w:i/>
          <w:sz w:val="22"/>
          <w:szCs w:val="22"/>
          <w:lang w:eastAsia="en-US"/>
        </w:rPr>
        <w:t>1</w:t>
      </w:r>
      <w:r w:rsidR="00BB4E0A" w:rsidRPr="002F426A">
        <w:rPr>
          <w:rFonts w:ascii="Arial" w:hAnsi="Arial" w:cs="Arial"/>
          <w:i/>
          <w:sz w:val="22"/>
          <w:szCs w:val="22"/>
          <w:lang w:eastAsia="en-US"/>
        </w:rPr>
        <w:t>.</w:t>
      </w:r>
      <w:r w:rsidR="00DE7326">
        <w:rPr>
          <w:rFonts w:ascii="Arial" w:hAnsi="Arial" w:cs="Arial"/>
          <w:i/>
          <w:sz w:val="22"/>
          <w:szCs w:val="22"/>
          <w:lang w:eastAsia="en-US"/>
        </w:rPr>
        <w:t>9</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821EEF" w:rsidRDefault="00821EEF" w:rsidP="00937FED">
      <w:pPr>
        <w:pStyle w:val="StandardWeb"/>
        <w:spacing w:line="360" w:lineRule="auto"/>
        <w:rPr>
          <w:rFonts w:ascii="Arial" w:hAnsi="Arial"/>
          <w:sz w:val="22"/>
          <w:szCs w:val="22"/>
        </w:rPr>
      </w:pPr>
      <w:r>
        <w:rPr>
          <w:rFonts w:ascii="Arial" w:hAnsi="Arial"/>
          <w:noProof/>
          <w:sz w:val="22"/>
          <w:szCs w:val="22"/>
        </w:rPr>
        <w:drawing>
          <wp:inline distT="0" distB="0" distL="0" distR="0">
            <wp:extent cx="3623481" cy="2415654"/>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651_colorSENSOR CFO250 LCh Farbraum.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633794" cy="2422530"/>
                    </a:xfrm>
                    <a:prstGeom prst="rect">
                      <a:avLst/>
                    </a:prstGeom>
                  </pic:spPr>
                </pic:pic>
              </a:graphicData>
            </a:graphic>
          </wp:inline>
        </w:drawing>
      </w:r>
      <w:r w:rsidR="00C6659B" w:rsidRPr="00821EEF">
        <w:rPr>
          <w:rFonts w:ascii="Arial" w:hAnsi="Arial"/>
          <w:sz w:val="22"/>
          <w:szCs w:val="22"/>
        </w:rPr>
        <w:t xml:space="preserve"> (</w:t>
      </w:r>
      <w:r w:rsidR="00137A1C">
        <w:rPr>
          <w:rFonts w:ascii="Arial" w:hAnsi="Arial" w:cs="Arial"/>
          <w:sz w:val="22"/>
          <w:szCs w:val="22"/>
          <w:shd w:val="clear" w:color="auto" w:fill="FFFFFF"/>
        </w:rPr>
        <w:t>PR652</w:t>
      </w:r>
      <w:r w:rsidR="005D0FCE" w:rsidRPr="005D0FCE">
        <w:rPr>
          <w:rFonts w:ascii="Arial" w:hAnsi="Arial" w:cs="Arial"/>
          <w:sz w:val="22"/>
          <w:szCs w:val="22"/>
          <w:shd w:val="clear" w:color="auto" w:fill="FFFFFF"/>
        </w:rPr>
        <w:t>_colorSENSOR-CFO250-Anwendung-Bedienelemente</w:t>
      </w:r>
      <w:r w:rsidR="001F1F0C">
        <w:rPr>
          <w:rFonts w:ascii="Arial" w:hAnsi="Arial" w:cs="Arial"/>
          <w:sz w:val="22"/>
          <w:szCs w:val="22"/>
          <w:shd w:val="clear" w:color="auto" w:fill="FFFFFF"/>
        </w:rPr>
        <w:t>.jpg</w:t>
      </w:r>
      <w:r w:rsidR="006256DF" w:rsidRPr="00821EEF">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137A1C"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137A1C"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137A1C"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137A1C"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C044B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C044B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C044B6"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C044B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137A1C"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0922399"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A1C"/>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97CD0C"/>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277</Words>
  <Characters>1747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28</cp:revision>
  <dcterms:created xsi:type="dcterms:W3CDTF">2025-03-20T12:09:00Z</dcterms:created>
  <dcterms:modified xsi:type="dcterms:W3CDTF">2025-10-02T13:00:00Z</dcterms:modified>
</cp:coreProperties>
</file>